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2F2E5192" w:rsidR="001C0D7B" w:rsidRPr="005F4269" w:rsidRDefault="00A93E4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Octo</w:t>
      </w:r>
      <w:r w:rsidR="000E7D57">
        <w:rPr>
          <w:b/>
          <w:bCs/>
        </w:rPr>
        <w:t xml:space="preserve">ber </w:t>
      </w:r>
      <w:r>
        <w:rPr>
          <w:b/>
          <w:bCs/>
        </w:rPr>
        <w:t>13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20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7FD868AB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AD3E27">
        <w:t>Dan Davis</w:t>
      </w:r>
      <w:r w:rsidR="000E7D57">
        <w:t>, Charles Giglio</w:t>
      </w:r>
      <w:r w:rsidR="00A93E44">
        <w:t>,</w:t>
      </w:r>
      <w:r w:rsidR="000E7D57">
        <w:t xml:space="preserve"> Andrew </w:t>
      </w:r>
      <w:proofErr w:type="gramStart"/>
      <w:r w:rsidR="000E7D57">
        <w:t>Blanchard</w:t>
      </w:r>
      <w:proofErr w:type="gramEnd"/>
      <w:r w:rsidR="000E7D57">
        <w:t xml:space="preserve"> </w:t>
      </w:r>
      <w:r w:rsidR="00A93E44">
        <w:t xml:space="preserve">and Chris Erny </w:t>
      </w:r>
      <w:r w:rsidR="000E7D57">
        <w:t>arriving at 1</w:t>
      </w:r>
      <w:r w:rsidR="00A93E44">
        <w:t>2</w:t>
      </w:r>
      <w:r w:rsidR="000E7D57">
        <w:t>:</w:t>
      </w:r>
      <w:r w:rsidR="00A93E44">
        <w:t>07</w:t>
      </w:r>
    </w:p>
    <w:p w14:paraId="0D5110C6" w14:textId="6B1D9467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0E7D57">
        <w:rPr>
          <w:b/>
        </w:rPr>
        <w:t>None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E1754C8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7D304B">
        <w:rPr>
          <w:b/>
          <w:bCs/>
        </w:rPr>
        <w:t>Stevie Smith</w:t>
      </w:r>
      <w:r w:rsidR="00AD3E27">
        <w:rPr>
          <w:b/>
          <w:bCs/>
        </w:rPr>
        <w:t xml:space="preserve"> – AllSouth</w:t>
      </w:r>
      <w:r w:rsidR="0092796C">
        <w:rPr>
          <w:b/>
          <w:bCs/>
        </w:rPr>
        <w:t xml:space="preserve">, </w:t>
      </w:r>
      <w:r w:rsidR="00A93E44">
        <w:rPr>
          <w:b/>
          <w:bCs/>
        </w:rPr>
        <w:t xml:space="preserve">Amber Plessala – T. Baker Smith, </w:t>
      </w:r>
      <w:r w:rsidR="000E7D57">
        <w:rPr>
          <w:b/>
          <w:bCs/>
        </w:rPr>
        <w:t>Jacob</w:t>
      </w:r>
      <w:r w:rsidR="007D304B">
        <w:rPr>
          <w:b/>
          <w:bCs/>
        </w:rPr>
        <w:t xml:space="preserve"> </w:t>
      </w:r>
      <w:proofErr w:type="gramStart"/>
      <w:r w:rsidR="007D304B">
        <w:rPr>
          <w:b/>
          <w:bCs/>
        </w:rPr>
        <w:t>Waitz</w:t>
      </w:r>
      <w:proofErr w:type="gramEnd"/>
      <w:r w:rsidR="00D8768E">
        <w:rPr>
          <w:b/>
          <w:bCs/>
        </w:rPr>
        <w:t xml:space="preserve">                                     </w:t>
      </w:r>
      <w:r w:rsidR="007D304B">
        <w:rPr>
          <w:b/>
          <w:bCs/>
        </w:rPr>
        <w:t xml:space="preserve"> and Craig Hebert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08857FE1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A93E44">
        <w:t>Doug Cheramie and Ty Carlos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56EF7FAE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03CE1EEB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D304B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A93E44">
        <w:rPr>
          <w:b/>
          <w:bCs/>
        </w:rPr>
        <w:t>Andrew Blanchard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A93E44">
        <w:rPr>
          <w:b/>
          <w:bCs/>
        </w:rPr>
        <w:t>September 8</w:t>
      </w:r>
      <w:r w:rsidR="00AB03CA">
        <w:rPr>
          <w:b/>
          <w:bCs/>
        </w:rPr>
        <w:t>, 20</w:t>
      </w:r>
      <w:r w:rsidR="002B1B81">
        <w:rPr>
          <w:b/>
          <w:bCs/>
        </w:rPr>
        <w:t>20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1977FFFA" w:rsidR="00D6172E" w:rsidRDefault="00FB31FC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>Reconciliation of finances 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 and approved for the month </w:t>
      </w:r>
      <w:r w:rsidR="00BE43AC" w:rsidRPr="00A93E44">
        <w:rPr>
          <w:b/>
          <w:bCs/>
        </w:rPr>
        <w:t xml:space="preserve">of </w:t>
      </w:r>
      <w:r w:rsidR="00A93E44" w:rsidRPr="00A93E44">
        <w:rPr>
          <w:b/>
          <w:bCs/>
        </w:rPr>
        <w:t>September</w:t>
      </w:r>
      <w:r w:rsidR="002B1B81" w:rsidRPr="00A93E44">
        <w:rPr>
          <w:b/>
          <w:bCs/>
        </w:rPr>
        <w:t xml:space="preserve"> 2020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0E7D57" w:rsidRPr="00A93E44">
        <w:rPr>
          <w:b/>
          <w:bCs/>
        </w:rPr>
        <w:t>Steve Crispino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A93E44" w:rsidRPr="00A93E44">
        <w:rPr>
          <w:b/>
          <w:bCs/>
        </w:rPr>
        <w:t>Dan Davis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 </w:t>
      </w:r>
      <w:r w:rsidRPr="00A93E44">
        <w:rPr>
          <w:b/>
          <w:bCs/>
        </w:rPr>
        <w:t>No opposition. Motion passed.</w:t>
      </w:r>
      <w:r w:rsidR="000E7D57" w:rsidRPr="00A93E44">
        <w:rPr>
          <w:b/>
          <w:bCs/>
        </w:rPr>
        <w:t xml:space="preserve">  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0DE3DAEF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0E7D57">
        <w:rPr>
          <w:b/>
          <w:bCs/>
        </w:rPr>
        <w:t xml:space="preserve">Craig Hebert was present to give a brief project update.  </w:t>
      </w:r>
      <w:r w:rsidR="00A93E44">
        <w:rPr>
          <w:b/>
          <w:bCs/>
        </w:rPr>
        <w:t xml:space="preserve">His office has responded to all requests from </w:t>
      </w:r>
      <w:r w:rsidR="000E7D57">
        <w:rPr>
          <w:b/>
          <w:bCs/>
        </w:rPr>
        <w:t>GSA</w:t>
      </w:r>
      <w:r w:rsidR="00A93E44">
        <w:rPr>
          <w:b/>
          <w:bCs/>
        </w:rPr>
        <w:t xml:space="preserve"> and is anticipating a response soon</w:t>
      </w:r>
      <w:r w:rsidR="000E7D57">
        <w:rPr>
          <w:b/>
          <w:bCs/>
        </w:rPr>
        <w:t>.</w:t>
      </w:r>
      <w:r w:rsidR="00A93E44">
        <w:rPr>
          <w:b/>
          <w:bCs/>
        </w:rPr>
        <w:t xml:space="preserve">  Because GSA is working from home the project has been delayed.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5320829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93E44">
        <w:rPr>
          <w:b/>
          <w:bCs/>
        </w:rPr>
        <w:t>David discussed as this topic has been pushed back due to the election.</w:t>
      </w:r>
    </w:p>
    <w:p w14:paraId="0C69BCE8" w14:textId="47F295C2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A93E44">
        <w:rPr>
          <w:b/>
          <w:bCs/>
        </w:rPr>
        <w:t xml:space="preserve">discussed the dredge completed prior to Hurricane Sally.  The channel has not been assessed since and has also not yet been surveyed.  </w:t>
      </w:r>
      <w:r w:rsidR="00A8753E">
        <w:rPr>
          <w:b/>
          <w:bCs/>
        </w:rPr>
        <w:t>The Corp plans to survey in the next few weeks.</w:t>
      </w:r>
      <w:r w:rsidR="0094273B">
        <w:rPr>
          <w:b/>
          <w:bCs/>
        </w:rPr>
        <w:t xml:space="preserve"> 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3AB7F701" w14:textId="35EA4ADE" w:rsidR="000E7D57" w:rsidRPr="0092796C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 and East Side of Slip Improvements – Jacob Waitz was present </w:t>
      </w:r>
      <w:r w:rsidR="00A8753E">
        <w:rPr>
          <w:b/>
          <w:bCs/>
        </w:rPr>
        <w:t xml:space="preserve">to give a project update.  Surveying </w:t>
      </w:r>
      <w:r w:rsidR="00AA41B6">
        <w:rPr>
          <w:b/>
          <w:bCs/>
        </w:rPr>
        <w:t>i</w:t>
      </w:r>
      <w:r w:rsidR="00A8753E">
        <w:rPr>
          <w:b/>
          <w:bCs/>
        </w:rPr>
        <w:t>s complete and they are working on plans.</w:t>
      </w:r>
    </w:p>
    <w:p w14:paraId="71B18D29" w14:textId="12409D87" w:rsidR="00927DAB" w:rsidRPr="006F7093" w:rsidRDefault="00FB0640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A8753E">
        <w:rPr>
          <w:b/>
          <w:bCs/>
        </w:rPr>
        <w:t>Nothing to report.</w:t>
      </w:r>
    </w:p>
    <w:p w14:paraId="3A97BEEB" w14:textId="595D57F6" w:rsidR="003E5D5B" w:rsidRPr="00A8753E" w:rsidRDefault="003E5D5B" w:rsidP="00A8753E">
      <w:pPr>
        <w:tabs>
          <w:tab w:val="left" w:pos="1980"/>
          <w:tab w:val="left" w:pos="2070"/>
          <w:tab w:val="left" w:pos="2520"/>
        </w:tabs>
        <w:ind w:left="1980"/>
        <w:jc w:val="both"/>
        <w:rPr>
          <w:b/>
          <w:bCs/>
        </w:rPr>
      </w:pP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lastRenderedPageBreak/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5646726F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A8753E">
        <w:rPr>
          <w:b/>
        </w:rPr>
        <w:t>Chris Erny inquired about emergency funding.  Possible emergency funding for dredging will depend on the upcoming water depth survey.</w:t>
      </w:r>
    </w:p>
    <w:p w14:paraId="53953A16" w14:textId="567E2CFF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206FCF">
        <w:rPr>
          <w:b/>
          <w:bCs/>
        </w:rPr>
        <w:t>None</w:t>
      </w:r>
    </w:p>
    <w:p w14:paraId="1EE2501C" w14:textId="04314F22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D01E14">
        <w:rPr>
          <w:b/>
        </w:rPr>
        <w:t>Ch</w:t>
      </w:r>
      <w:r w:rsidR="00A8753E">
        <w:rPr>
          <w:b/>
        </w:rPr>
        <w:t>ris Erny</w:t>
      </w:r>
      <w:r w:rsidR="003466D9">
        <w:rPr>
          <w:b/>
        </w:rPr>
        <w:t xml:space="preserve"> and seconded by </w:t>
      </w:r>
      <w:r w:rsidR="00A8753E">
        <w:rPr>
          <w:b/>
        </w:rPr>
        <w:t>Charles Giglio</w:t>
      </w:r>
      <w:r w:rsidR="003466D9">
        <w:rPr>
          <w:b/>
        </w:rPr>
        <w:t>.  The meeting was adjourned at 1</w:t>
      </w:r>
      <w:r w:rsidR="00D01E14">
        <w:rPr>
          <w:b/>
        </w:rPr>
        <w:t>2</w:t>
      </w:r>
      <w:r w:rsidR="003466D9">
        <w:rPr>
          <w:b/>
        </w:rPr>
        <w:t>:</w:t>
      </w:r>
      <w:r w:rsidR="00A8753E">
        <w:rPr>
          <w:b/>
        </w:rPr>
        <w:t>18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304B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76AC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24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2020-10-15T18:07:00Z</cp:lastPrinted>
  <dcterms:created xsi:type="dcterms:W3CDTF">2020-10-15T17:44:00Z</dcterms:created>
  <dcterms:modified xsi:type="dcterms:W3CDTF">2020-10-15T18:07:00Z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